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 w14:paraId="6C355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1755"/>
        <w:gridCol w:w="1805"/>
        <w:gridCol w:w="2588"/>
      </w:tblGrid>
      <w:tr w14:paraId="3A8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45F50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A4DE4F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F01984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0F5D47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工期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1AFA1C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73A3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903D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D741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378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495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E69448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FB8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3B32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9A4C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6B57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6B8F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C1ACB9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708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F588E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4E1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7A2B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800DD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021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1EE53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B583C6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EAC41C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D2938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D91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2015D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1FBF2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8F2579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7E758648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15D6EF52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3E076056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7EF6BB96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1DC71B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24453A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5A3256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新疆维吾尔自治区儿童医院</w:t>
      </w:r>
    </w:p>
    <w:p w14:paraId="1EAA12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center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                            202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5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8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月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13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日</w:t>
      </w:r>
    </w:p>
    <w:p w14:paraId="099E9A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1F"/>
    <w:rsid w:val="007C3C1F"/>
    <w:rsid w:val="2EB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2025-08-14T01:43:00Z</dcterms:created>
  <dc:creator>秦紫荆</dc:creator>
  <cp:lastModifiedBy>秦紫荆</cp:lastModifiedBy>
  <dcterms:modified xsi:type="dcterms:W3CDTF">2025-08-14T01:43:43Z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94ACB5CC486445349F453E70D1921477_13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